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right"/>
        <w:rPr/>
      </w:pPr>
      <w:r>
        <w:rPr/>
        <w:t>Утверждено 12.10.</w:t>
      </w:r>
      <w:r>
        <w:rPr/>
        <w:t>19</w:t>
      </w:r>
      <w:r>
        <w:rPr/>
        <w:t>г.</w:t>
      </w:r>
    </w:p>
    <w:p>
      <w:pPr>
        <w:pStyle w:val="Normal"/>
        <w:jc w:val="right"/>
        <w:rPr/>
      </w:pPr>
      <w:r>
        <w:rPr/>
        <w:t xml:space="preserve">Буневич И.В. </w:t>
      </w:r>
    </w:p>
    <w:p>
      <w:pPr>
        <w:pStyle w:val="Normal"/>
        <w:jc w:val="right"/>
        <w:rPr/>
      </w:pPr>
      <w:r>
        <w:rPr/>
        <w:t>ООО «</w:t>
      </w:r>
      <w:r>
        <w:rPr/>
        <w:t>НОЛИ НОЦЭРЭ</w:t>
      </w:r>
      <w:r>
        <w:rPr/>
        <w:t>»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1"/>
        <w:spacing w:before="0" w:after="60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Положение «О предоставлении гарантий в стоматологии»</w:t>
      </w:r>
    </w:p>
    <w:p>
      <w:pPr>
        <w:pStyle w:val="NormalWeb"/>
        <w:shd w:val="clear" w:color="auto" w:fill="FFFFFF"/>
        <w:spacing w:before="280" w:after="280"/>
        <w:jc w:val="center"/>
        <w:rPr>
          <w:rFonts w:ascii="Arial" w:hAnsi="Arial" w:cs="Arial"/>
          <w:b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1.ОБЩИЕ ПОЛОЖЕНИЯ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Настоящее положение разработано в соответствии с ФЗ «Об основах охране здоровья граждан в РФ», Федеральным законом РФ «О защите прав потребителей», установленными отраслевыми стандартами.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b/>
          <w:bCs/>
        </w:rPr>
        <w:t>1.1. В обязательном порядке, во всех случаях оказания стоматологической помощи и безусловно нашим пациентам гарантируется:</w:t>
      </w:r>
    </w:p>
    <w:p>
      <w:pPr>
        <w:pStyle w:val="Normal"/>
        <w:numPr>
          <w:ilvl w:val="0"/>
          <w:numId w:val="8"/>
        </w:numPr>
        <w:shd w:val="clear" w:color="auto" w:fill="FFFFFF"/>
        <w:spacing w:beforeAutospacing="1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предоставление полной, достоверной и доступной по форме информации о состоянии здоровья пациентов</w:t>
      </w:r>
      <w:r>
        <w:rPr>
          <w:rFonts w:cs="Arial" w:ascii="Arial" w:hAnsi="Arial"/>
          <w:sz w:val="27"/>
          <w:szCs w:val="27"/>
        </w:rPr>
        <w:t> (с учетом их права и желания получать таковую по доброй воле);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i/>
          <w:i/>
          <w:iCs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проведение консультации и консилиума врачей;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i/>
          <w:i/>
          <w:iCs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проведение лечения специалистами, имеющими сертификаты, подтверждающие право на осуществление данного вида медицинской помощи;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i/>
          <w:i/>
          <w:iCs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учет показателей общего здоровья пациента при осуществлении диагностических, лечебных и профилактических мероприятий стоматологами всех специализаций;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i/>
          <w:i/>
          <w:iCs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составление рекомендуемого (предлагаемого) плана лечения;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i/>
          <w:i/>
          <w:iCs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использование методов и технологий лечения, применяемых в нашем лечебном учреждении;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индивидуальный подбор анестетиков</w:t>
      </w:r>
      <w:r>
        <w:rPr>
          <w:rFonts w:cs="Arial" w:ascii="Arial" w:hAnsi="Arial"/>
          <w:sz w:val="27"/>
          <w:szCs w:val="27"/>
        </w:rPr>
        <w:t>, что позволяет в максимальной степени исключить болевые ощущения, учитывая при этом возраст пациента, его аллергический статус, показатели общего здоровья и опыт лечения у стоматологов;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безопасность лечения</w:t>
      </w:r>
      <w:r>
        <w:rPr>
          <w:rFonts w:cs="Arial" w:ascii="Arial" w:hAnsi="Arial"/>
          <w:sz w:val="27"/>
          <w:szCs w:val="27"/>
        </w:rPr>
        <w:t xml:space="preserve"> – обеспечивается комплексом санитарно-эпидемиологических мероприятий и использованием разрешенных к применению технологий и материалов;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точная диагностика</w:t>
      </w:r>
      <w:r>
        <w:rPr>
          <w:rFonts w:cs="Arial" w:ascii="Arial" w:hAnsi="Arial"/>
          <w:sz w:val="27"/>
          <w:szCs w:val="27"/>
        </w:rPr>
        <w:t>, достигаемая при наличии должного профессионального уровня специалистов, современных диагностических средств и данных дополнительных обследований;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тщательное соблюдение технологий лечения</w:t>
      </w:r>
      <w:r>
        <w:rPr>
          <w:rFonts w:cs="Arial" w:ascii="Arial" w:hAnsi="Arial"/>
          <w:sz w:val="27"/>
          <w:szCs w:val="27"/>
        </w:rPr>
        <w:t>, что предполагает высокопрофессиональную подготовку врачей, зубных техников и ассистентов, а также специальные средства контроля качества их работы;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применение технологически безопасных, разрешенных Минздравом РФ материалов, не утративших сроков годности;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проведение контрольных осмотров</w:t>
      </w:r>
      <w:r>
        <w:rPr>
          <w:rFonts w:cs="Arial" w:ascii="Arial" w:hAnsi="Arial"/>
          <w:sz w:val="27"/>
          <w:szCs w:val="27"/>
        </w:rPr>
        <w:t> – по показаниям после сложного лечения или при необходимости упреждения нежелательных последствий;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проведение бесплатных профилактических осмотров</w:t>
      </w:r>
      <w:r>
        <w:rPr>
          <w:rFonts w:cs="Arial" w:ascii="Arial" w:hAnsi="Arial"/>
          <w:sz w:val="27"/>
          <w:szCs w:val="27"/>
        </w:rPr>
        <w:t> с частотой, определяемой врачом, но не реже, чем раз в полгода;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динамический контроль процесса и результатов лечения</w:t>
      </w:r>
      <w:r>
        <w:rPr>
          <w:rFonts w:cs="Arial" w:ascii="Arial" w:hAnsi="Arial"/>
          <w:sz w:val="27"/>
          <w:szCs w:val="27"/>
        </w:rPr>
        <w:t> (согласно рекомендациям СТАР);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мероприятия по устранению или снижению степени осложнений, которые могут возникнуть в процессе или после лечения;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>определение риска повторения или обострения выявленных заболеваний;</w:t>
      </w:r>
    </w:p>
    <w:p>
      <w:pPr>
        <w:pStyle w:val="Normal"/>
        <w:numPr>
          <w:ilvl w:val="0"/>
          <w:numId w:val="8"/>
        </w:numPr>
        <w:shd w:val="clear" w:color="auto" w:fill="FFFFFF"/>
        <w:spacing w:before="0" w:afterAutospacing="1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i/>
          <w:iCs/>
          <w:sz w:val="27"/>
          <w:szCs w:val="27"/>
        </w:rPr>
        <w:t xml:space="preserve">достижение показателей качества лечения и эстетических результатов </w:t>
      </w:r>
      <w:r>
        <w:rPr>
          <w:rFonts w:cs="Arial" w:ascii="Arial" w:hAnsi="Arial"/>
          <w:sz w:val="27"/>
          <w:szCs w:val="27"/>
        </w:rPr>
        <w:t>(с учетом имеющихся в отечественной стоматологии стандартов, пожеланий пациента и объективных обстоятельств, выявленных врачом).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Совокупность обязательных гарантий обеспечивает качественное лечение и благоприятный прогноз.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b/>
          <w:bCs/>
        </w:rPr>
        <w:t>1.2. Гарантии устанавлива</w:t>
      </w:r>
      <w:r>
        <w:rPr>
          <w:rFonts w:cs="Arial"/>
          <w:b/>
          <w:bCs/>
        </w:rPr>
        <w:t>ются в виде гарантийного срока </w:t>
      </w:r>
      <w:r>
        <w:rPr>
          <w:rFonts w:cs="Arial" w:ascii="Arial" w:hAnsi="Arial"/>
          <w:b/>
          <w:bCs/>
        </w:rPr>
        <w:t>и срока службы. На стоматологические работы (услуги) имеющие материальный результат (пломба, винир, зубная коронка, восстановление зуба, зубные протезы, ортодонтические аппараты после снятия брекет-системы), прогнозируемые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 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b/>
          <w:bCs/>
          <w:i/>
          <w:iCs/>
          <w:sz w:val="27"/>
          <w:szCs w:val="27"/>
        </w:rPr>
        <w:t>Гарантийный срок</w:t>
      </w:r>
      <w:r>
        <w:rPr>
          <w:rFonts w:cs="Arial" w:ascii="Arial" w:hAnsi="Arial"/>
          <w:sz w:val="27"/>
          <w:szCs w:val="27"/>
        </w:rPr>
        <w:t xml:space="preserve"> – это период бесплатного устранения доктором (клиникой) устранимых недостатков – мелких недоделок, выявленных после лечения и возникших не по вине пациента.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К устранимым недостаткам относят, например, подгонку пломбы по прикусу, дополнительную полировку разных поверхностей зуба, снятие чувствительности, корректировку цвета и формы восстановленного зуба, подшлифовку ложа съемного зубного протеза и др.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b/>
          <w:bCs/>
          <w:i/>
          <w:iCs/>
          <w:sz w:val="27"/>
          <w:szCs w:val="27"/>
        </w:rPr>
        <w:t>Срок службы</w:t>
      </w:r>
      <w:r>
        <w:rPr>
          <w:rFonts w:cs="Arial" w:ascii="Arial" w:hAnsi="Arial"/>
          <w:sz w:val="27"/>
          <w:szCs w:val="27"/>
        </w:rPr>
        <w:t> – это период, в течение которого исполнитель обязуется обеспечивать пациенту возможность использования результата услуги по назначению и нести ответственность за существенные недостатки возникших после лечения не по вине пациента (пломба выпала, протез – сломался и т.п.).</w:t>
      </w:r>
    </w:p>
    <w:p>
      <w:pPr>
        <w:pStyle w:val="2"/>
        <w:shd w:val="clear" w:color="auto" w:fill="FFFFFF"/>
        <w:spacing w:before="0" w:after="120"/>
        <w:jc w:val="both"/>
        <w:rPr>
          <w:rFonts w:cs="Arial"/>
          <w:b w:val="false"/>
          <w:b w:val="false"/>
          <w:sz w:val="36"/>
          <w:szCs w:val="36"/>
        </w:rPr>
      </w:pPr>
      <w:r>
        <w:rPr>
          <w:rFonts w:cs="Arial"/>
          <w:b w:val="false"/>
          <w:bCs/>
        </w:rPr>
        <w:t>1.3.На отдельные виды стоматологических работ (услуг) ввиду их специфики установить гарантийные сроки и сроки службы не представляется возможным:</w:t>
      </w:r>
    </w:p>
    <w:p>
      <w:pPr>
        <w:pStyle w:val="Normal"/>
        <w:numPr>
          <w:ilvl w:val="0"/>
          <w:numId w:val="9"/>
        </w:numPr>
        <w:shd w:val="clear" w:color="auto" w:fill="FFFFFF"/>
        <w:spacing w:beforeAutospacing="1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обработка и пломбирование корневых каналов;</w:t>
      </w:r>
    </w:p>
    <w:p>
      <w:pPr>
        <w:pStyle w:val="Normal"/>
        <w:numPr>
          <w:ilvl w:val="0"/>
          <w:numId w:val="9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профессиональная гигиеническая чистка полости рта;</w:t>
      </w:r>
    </w:p>
    <w:p>
      <w:pPr>
        <w:pStyle w:val="Normal"/>
        <w:numPr>
          <w:ilvl w:val="0"/>
          <w:numId w:val="9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временная пломба;</w:t>
      </w:r>
    </w:p>
    <w:p>
      <w:pPr>
        <w:pStyle w:val="Normal"/>
        <w:numPr>
          <w:ilvl w:val="0"/>
          <w:numId w:val="9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некоторые виды ортодонтического лечения;</w:t>
      </w:r>
    </w:p>
    <w:p>
      <w:pPr>
        <w:pStyle w:val="Normal"/>
        <w:numPr>
          <w:ilvl w:val="0"/>
          <w:numId w:val="9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хирургические операции (резекция верхушки корня, удаление зуба, постановка зубного имплантата и др.);</w:t>
      </w:r>
    </w:p>
    <w:p>
      <w:pPr>
        <w:pStyle w:val="Normal"/>
        <w:numPr>
          <w:ilvl w:val="0"/>
          <w:numId w:val="9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лечение воспаления десны и окружающих зуб тканей;</w:t>
      </w:r>
    </w:p>
    <w:p>
      <w:pPr>
        <w:pStyle w:val="Normal"/>
        <w:numPr>
          <w:ilvl w:val="0"/>
          <w:numId w:val="9"/>
        </w:numPr>
        <w:shd w:val="clear" w:color="auto" w:fill="FFFFFF"/>
        <w:spacing w:before="0" w:afterAutospacing="1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отбеливание зубов.</w:t>
      </w:r>
    </w:p>
    <w:p>
      <w:pPr>
        <w:pStyle w:val="2"/>
        <w:shd w:val="clear" w:color="auto" w:fill="FFFFFF"/>
        <w:spacing w:before="0" w:after="120"/>
        <w:jc w:val="both"/>
        <w:rPr>
          <w:rFonts w:cs="Arial"/>
          <w:b w:val="false"/>
          <w:b w:val="false"/>
          <w:sz w:val="36"/>
          <w:szCs w:val="36"/>
        </w:rPr>
      </w:pPr>
      <w:r>
        <w:rPr>
          <w:rFonts w:cs="Arial"/>
          <w:b w:val="false"/>
          <w:bCs/>
        </w:rPr>
        <w:t>1.4.В случаях, когда ввиду специфики стоматологической работы (услуги) не возможно определить гарантийные сроки и сроки службы, врач устанавливает и разъясняет пациенту процент успешности лечения в каждом конкретном случае.</w:t>
      </w:r>
    </w:p>
    <w:p>
      <w:pPr>
        <w:pStyle w:val="2"/>
        <w:shd w:val="clear" w:color="auto" w:fill="FFFFFF"/>
        <w:spacing w:before="0" w:after="120"/>
        <w:jc w:val="both"/>
        <w:rPr>
          <w:rFonts w:cs="Arial"/>
          <w:b w:val="false"/>
          <w:b w:val="false"/>
          <w:sz w:val="36"/>
          <w:szCs w:val="36"/>
        </w:rPr>
      </w:pPr>
      <w:r>
        <w:rPr>
          <w:rFonts w:cs="Arial"/>
          <w:b w:val="false"/>
          <w:bCs/>
        </w:rPr>
        <w:t>1.5.При выявлении после такого лечения недостатков работа будет бесплатно переделана (лечение будет проведено повторно), если компетентные лица, экспертная комиссия установят вину врача (неправильный диагноз, нарушение технологии лечения и т.п.).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Таким образом, стоматолог устанавливает прогнозируемые гарантии либо в виде сроков (гарантийные сроки и сроки службы), либо в виде процента вероятности успешности лечения.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b/>
          <w:bCs/>
        </w:rPr>
        <w:t>1.6.Гарантии устанавливаются:</w:t>
      </w:r>
    </w:p>
    <w:p>
      <w:pPr>
        <w:pStyle w:val="Normal"/>
        <w:numPr>
          <w:ilvl w:val="0"/>
          <w:numId w:val="10"/>
        </w:numPr>
        <w:shd w:val="clear" w:color="auto" w:fill="FFFFFF"/>
        <w:spacing w:beforeAutospacing="1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на каждую конкретную выполненную работу;</w:t>
      </w:r>
    </w:p>
    <w:p>
      <w:pPr>
        <w:pStyle w:val="Normal"/>
        <w:numPr>
          <w:ilvl w:val="0"/>
          <w:numId w:val="10"/>
        </w:numPr>
        <w:shd w:val="clear" w:color="auto" w:fill="FFFFFF"/>
        <w:spacing w:before="0" w:afterAutospacing="1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с учетом конкретных обстоятельств, которых врач информирует пациента.</w:t>
      </w:r>
    </w:p>
    <w:p>
      <w:pPr>
        <w:pStyle w:val="2"/>
        <w:shd w:val="clear" w:color="auto" w:fill="FFFFFF"/>
        <w:spacing w:before="0" w:after="120"/>
        <w:jc w:val="both"/>
        <w:rPr>
          <w:rFonts w:cs="Arial"/>
          <w:b w:val="false"/>
          <w:b w:val="false"/>
          <w:sz w:val="36"/>
          <w:szCs w:val="36"/>
        </w:rPr>
      </w:pPr>
      <w:r>
        <w:rPr>
          <w:rFonts w:cs="Arial"/>
          <w:b w:val="false"/>
          <w:bCs/>
        </w:rPr>
        <w:t>1.7.При установлении каждому пациенту на каждую выполненную работу прогнозируемых гарантий (гарантийного срока и срока службы или процента вероятности успешности лечения) врач учитывает и разъясняет обстоятельства, ограничивающие гарантии (если таковые выявлены):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1) состояние общего здоровья и возраст пациента;</w:t>
        <w:br/>
        <w:t>2) объем выполненного рекомендованного плана лечения;</w:t>
        <w:br/>
        <w:t>3) клиническая ситуация в полости рта (имеющиеся нарушения, особенности прикуса, состав слюны, повышенная стираемость зубов, прогноз развития или повторения имеющихся заболеваний и др.);</w:t>
        <w:br/>
        <w:t>4) сложность данного случая лечения;</w:t>
        <w:br/>
        <w:t>5) достоинства и недостатки используемых технологий и материалов, а так же выбранных вариантов лечения;</w:t>
        <w:br/>
        <w:t>6) особенности профессиональной деятельности пациента, которые могут негативно сказываться на результатах лечения.</w:t>
      </w:r>
    </w:p>
    <w:p>
      <w:pPr>
        <w:pStyle w:val="2"/>
        <w:shd w:val="clear" w:color="auto" w:fill="FFFFFF"/>
        <w:spacing w:before="0" w:after="120"/>
        <w:jc w:val="both"/>
        <w:rPr>
          <w:rFonts w:cs="Arial"/>
          <w:b w:val="false"/>
          <w:b w:val="false"/>
          <w:sz w:val="36"/>
          <w:szCs w:val="36"/>
        </w:rPr>
      </w:pPr>
      <w:r>
        <w:rPr>
          <w:rFonts w:cs="Arial"/>
          <w:b w:val="false"/>
          <w:bCs/>
        </w:rPr>
        <w:t>1.8.Гарантийные обязательства сохраняются при условиях: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1) если в период действия гарантии у пациента не возникнут (не проявятся) заболевания внутренних органов, а также изменения физиологического состояния организма (вследствие беременности, приема лекарственных препаратов, вредных внешних воздействий), которые способны негативно повлиять на достигнутые результаты стоматологического лечения;</w:t>
        <w:br/>
        <w:t>2) если пациент будет соблюдать гигиену полости рта и другие указания стоматолога;</w:t>
        <w:br/>
        <w:t>3)    если пациент будет посещать бесплатные осмотры с частотой, рекомендованной врачом;</w:t>
        <w:br/>
        <w:t>4)    если в период лечения у врача пациент не будет лечить то же самое у специалиста другой клиники;</w:t>
        <w:br/>
        <w:t>5)    если при обращении за неотложной помощью в другую клинику пациент предоставит нам выписку из амбулаторной карты и рентгеновские снимки, фиксирующие результаты вмешательства;</w:t>
        <w:br/>
        <w:t>6)    если выявленные недостатки нашей работы будут исправляться в нашей клинике;</w:t>
        <w:br/>
        <w:t>7)    если не скажутся форс-мажорные обстоятельства (авария, удар, стихийные бедствия), способные негативно повлиять на результаты лечения.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b/>
          <w:bCs/>
        </w:rPr>
        <w:t>1.9. Гарантийный срок на каждую выполненную услугу фиксируются в едином гарантийном талоне, который выдается пациенту и в котором расписывается врач (каждый врач). Копия гарантийного талона подписанная пациентом, хранится в его медицинской документации.</w:t>
      </w:r>
    </w:p>
    <w:p>
      <w:pPr>
        <w:pStyle w:val="Normal"/>
        <w:shd w:val="clear" w:color="auto" w:fill="FFFFFF"/>
        <w:jc w:val="both"/>
        <w:rPr>
          <w:rFonts w:ascii="Arial" w:hAnsi="Arial" w:cs="Arial"/>
          <w:sz w:val="36"/>
          <w:szCs w:val="36"/>
        </w:rPr>
      </w:pPr>
      <w:r>
        <w:rPr>
          <w:rFonts w:cs="Arial" w:ascii="Arial" w:hAnsi="Arial"/>
          <w:b/>
          <w:bCs/>
        </w:rPr>
        <w:t>1.10. В целях представления пациента о гарантийных сроках определяются:</w:t>
      </w:r>
    </w:p>
    <w:p>
      <w:pPr>
        <w:pStyle w:val="Normal"/>
        <w:numPr>
          <w:ilvl w:val="0"/>
          <w:numId w:val="11"/>
        </w:numPr>
        <w:shd w:val="clear" w:color="auto" w:fill="FFFFFF"/>
        <w:spacing w:beforeAutospacing="1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средние гарантийные сроки и средние сроки службы для случаев лечения, где таковые могут быть установлены (См. Приложение 1);</w:t>
      </w:r>
    </w:p>
    <w:p>
      <w:pPr>
        <w:pStyle w:val="Normal"/>
        <w:numPr>
          <w:ilvl w:val="0"/>
          <w:numId w:val="11"/>
        </w:numPr>
        <w:shd w:val="clear" w:color="auto" w:fill="FFFFFF"/>
        <w:spacing w:before="0" w:afterAutospacing="1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средние проценты вероятности успешности лечения для случаев лечения, где сроки установить невозможно (См. Приложение 2).</w:t>
      </w:r>
    </w:p>
    <w:p>
      <w:pPr>
        <w:pStyle w:val="Style9"/>
        <w:spacing w:before="0" w:after="0"/>
        <w:jc w:val="both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>Приложение 1</w:t>
      </w:r>
    </w:p>
    <w:p>
      <w:pPr>
        <w:pStyle w:val="Style9"/>
        <w:spacing w:before="0" w:after="0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Средние гарантийные сроки и сроки службы, действующие в клинике</w:t>
      </w:r>
    </w:p>
    <w:p>
      <w:pPr>
        <w:pStyle w:val="7"/>
        <w:jc w:val="center"/>
        <w:rPr>
          <w:szCs w:val="32"/>
        </w:rPr>
      </w:pPr>
      <w:r>
        <w:rPr>
          <w:szCs w:val="32"/>
        </w:rPr>
        <w:t>Терапевтическая стоматология</w:t>
      </w:r>
    </w:p>
    <w:p>
      <w:pPr>
        <w:pStyle w:val="Style9"/>
        <w:spacing w:before="0" w:after="0"/>
        <w:jc w:val="center"/>
        <w:rPr>
          <w:sz w:val="28"/>
        </w:rPr>
      </w:pPr>
      <w:r>
        <w:rPr>
          <w:sz w:val="28"/>
        </w:rPr>
        <w:t>Постановка пломб, эстетическая реставрация</w:t>
      </w:r>
    </w:p>
    <w:p>
      <w:pPr>
        <w:pStyle w:val="Style9"/>
        <w:spacing w:before="0" w:after="0"/>
        <w:jc w:val="center"/>
        <w:rPr>
          <w:b/>
          <w:b/>
          <w:sz w:val="28"/>
        </w:rPr>
      </w:pPr>
      <w:r>
        <w:rPr>
          <w:sz w:val="28"/>
        </w:rPr>
        <w:t>(годы, месяцы)</w:t>
      </w:r>
    </w:p>
    <w:p>
      <w:pPr>
        <w:pStyle w:val="Style9"/>
        <w:spacing w:before="0" w:after="0"/>
        <w:jc w:val="both"/>
        <w:rPr>
          <w:b/>
          <w:b/>
          <w:sz w:val="28"/>
        </w:rPr>
      </w:pPr>
      <w:r>
        <w:rPr>
          <w:b/>
          <w:sz w:val="28"/>
        </w:rPr>
      </w:r>
    </w:p>
    <w:tbl>
      <w:tblPr>
        <w:tblW w:w="10716" w:type="dxa"/>
        <w:jc w:val="left"/>
        <w:tblInd w:w="-244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7695"/>
        <w:gridCol w:w="1595"/>
        <w:gridCol w:w="1426"/>
      </w:tblGrid>
      <w:tr>
        <w:trPr>
          <w:trHeight w:val="307" w:hRule="exact"/>
          <w:cantSplit w:val="true"/>
        </w:trPr>
        <w:tc>
          <w:tcPr>
            <w:tcW w:w="76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6"/>
              <w:widowControl w:val="false"/>
              <w:jc w:val="both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Виды работ:</w:t>
            </w:r>
          </w:p>
        </w:tc>
        <w:tc>
          <w:tcPr>
            <w:tcW w:w="3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jc w:val="both"/>
              <w:rPr>
                <w:b/>
                <w:b/>
                <w:i/>
                <w:i/>
                <w:szCs w:val="24"/>
              </w:rPr>
            </w:pPr>
            <w:r>
              <w:rPr>
                <w:b/>
                <w:i/>
                <w:szCs w:val="24"/>
              </w:rPr>
              <w:t>Средние сроки, год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</w:tr>
      <w:tr>
        <w:trPr>
          <w:trHeight w:val="383" w:hRule="exact"/>
          <w:cantSplit w:val="true"/>
        </w:trPr>
        <w:tc>
          <w:tcPr>
            <w:tcW w:w="769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sz w:val="22"/>
                <w:szCs w:val="22"/>
              </w:rPr>
              <w:t xml:space="preserve">Гарантийный                                    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426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Службы</w:t>
            </w:r>
          </w:p>
        </w:tc>
      </w:tr>
      <w:tr>
        <w:trPr>
          <w:trHeight w:val="317" w:hRule="exact"/>
          <w:cantSplit w:val="true"/>
        </w:trPr>
        <w:tc>
          <w:tcPr>
            <w:tcW w:w="76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</w:rPr>
            </w:pPr>
            <w:r>
              <w:rPr>
                <w:b/>
                <w:color w:val="000000"/>
              </w:rPr>
              <w:t>Пломба из композиционного светоотверждаемого материала: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134" w:hRule="exact"/>
          <w:cantSplit w:val="true"/>
        </w:trPr>
        <w:tc>
          <w:tcPr>
            <w:tcW w:w="769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76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jc w:val="both"/>
              <w:rPr/>
            </w:pPr>
            <w:r>
              <w:rPr>
                <w:color w:val="000000"/>
                <w:spacing w:val="-7"/>
              </w:rPr>
              <w:t xml:space="preserve">Кариес на жевательной поверхности </w:t>
            </w:r>
            <w:r>
              <w:rPr>
                <w:color w:val="000000"/>
                <w:spacing w:val="-13"/>
              </w:rPr>
              <w:t>зубов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288" w:hRule="exact"/>
          <w:cantSplit w:val="true"/>
        </w:trPr>
        <w:tc>
          <w:tcPr>
            <w:tcW w:w="769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7"/>
              </w:rPr>
              <w:t>Кариес на контактной поверхности малых и больших  боковых зубов</w:t>
            </w:r>
          </w:p>
          <w:p>
            <w:pPr>
              <w:pStyle w:val="Normal"/>
              <w:widowControl w:val="false"/>
              <w:shd w:val="clear" w:color="auto" w:fill="FFFFFF"/>
              <w:ind w:left="510" w:hanging="0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80" w:hRule="exact"/>
          <w:cantSplit w:val="true"/>
        </w:trPr>
        <w:tc>
          <w:tcPr>
            <w:tcW w:w="769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317" w:hRule="exact"/>
        </w:trPr>
        <w:tc>
          <w:tcPr>
            <w:tcW w:w="76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jc w:val="both"/>
              <w:rPr/>
            </w:pPr>
            <w:r>
              <w:rPr>
                <w:color w:val="000000"/>
                <w:spacing w:val="-6"/>
              </w:rPr>
              <w:t>Кариес на контактной поверхности резцов и клыков</w:t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298" w:hRule="exact"/>
          <w:cantSplit w:val="true"/>
        </w:trPr>
        <w:tc>
          <w:tcPr>
            <w:tcW w:w="769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hd w:val="clear" w:color="auto" w:fill="FFFFFF"/>
              <w:jc w:val="both"/>
              <w:rPr/>
            </w:pPr>
            <w:r>
              <w:rPr>
                <w:color w:val="000000"/>
                <w:spacing w:val="-7"/>
              </w:rPr>
              <w:t>Кариес на контактной поверхности</w:t>
            </w:r>
            <w:r>
              <w:rPr>
                <w:color w:val="000000"/>
                <w:spacing w:val="-6"/>
              </w:rPr>
              <w:t xml:space="preserve"> резцов с разрушением угла коронки;</w:t>
            </w:r>
            <w:r>
              <w:rPr>
                <w:color w:val="000000"/>
                <w:spacing w:val="-7"/>
              </w:rPr>
              <w:t xml:space="preserve"> кариес в придесневой области.</w:t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284" w:hRule="exact"/>
          <w:cantSplit w:val="true"/>
        </w:trPr>
        <w:tc>
          <w:tcPr>
            <w:tcW w:w="769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278" w:hRule="exact"/>
          <w:cantSplit w:val="true"/>
        </w:trPr>
        <w:tc>
          <w:tcPr>
            <w:tcW w:w="769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hd w:val="clear" w:color="auto" w:fill="FFFFFF"/>
              <w:jc w:val="both"/>
              <w:rPr>
                <w:color w:val="000000"/>
                <w:spacing w:val="-5"/>
              </w:rPr>
            </w:pPr>
            <w:r>
              <w:rPr>
                <w:color w:val="000000"/>
                <w:spacing w:val="-8"/>
              </w:rPr>
              <w:t>Покрытие пломбировочным</w:t>
            </w:r>
            <w:r>
              <w:rPr>
                <w:color w:val="000000"/>
                <w:spacing w:val="-7"/>
              </w:rPr>
              <w:t xml:space="preserve"> материалом губной, пришеечной</w:t>
            </w:r>
            <w:r>
              <w:rPr>
                <w:color w:val="000000"/>
                <w:spacing w:val="-6"/>
              </w:rPr>
              <w:t xml:space="preserve"> поверхности зубов </w:t>
            </w:r>
            <w:r>
              <w:rPr>
                <w:color w:val="000000"/>
                <w:spacing w:val="-5"/>
              </w:rPr>
              <w:t>всех групп (прямое винирование)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343" w:hRule="exact"/>
          <w:cantSplit w:val="true"/>
        </w:trPr>
        <w:tc>
          <w:tcPr>
            <w:tcW w:w="7695" w:type="dxa"/>
            <w:vMerge w:val="continue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723" w:hRule="exact"/>
          <w:cantSplit w:val="true"/>
        </w:trPr>
        <w:tc>
          <w:tcPr>
            <w:tcW w:w="76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Пломба из стеклоиномерного цемента (СИЦ)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по виду дефекта: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461" w:hRule="exact"/>
          <w:cantSplit w:val="true"/>
        </w:trPr>
        <w:tc>
          <w:tcPr>
            <w:tcW w:w="76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/>
            </w:pPr>
            <w:r>
              <w:rPr>
                <w:color w:val="000000"/>
                <w:spacing w:val="-7"/>
              </w:rPr>
              <w:t>Кариес на жевательной поверхности</w:t>
            </w:r>
            <w:r>
              <w:rPr>
                <w:color w:val="000000"/>
                <w:spacing w:val="-12"/>
              </w:rPr>
              <w:t xml:space="preserve"> зубов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6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413" w:hRule="exact"/>
        </w:trPr>
        <w:tc>
          <w:tcPr>
            <w:tcW w:w="76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hd w:val="clear" w:color="auto" w:fill="FFFFFF"/>
              <w:jc w:val="both"/>
              <w:rPr>
                <w:color w:val="000000"/>
                <w:spacing w:val="-7"/>
              </w:rPr>
            </w:pPr>
            <w:r>
              <w:rPr>
                <w:color w:val="000000"/>
                <w:spacing w:val="-6"/>
              </w:rPr>
              <w:t>Кариес на контактной поверхности</w:t>
            </w:r>
            <w:r>
              <w:rPr>
                <w:color w:val="000000"/>
                <w:spacing w:val="-7"/>
              </w:rPr>
              <w:t xml:space="preserve"> малых и больших боковых зубов.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  <w:spacing w:val="-7"/>
              </w:rPr>
              <w:t xml:space="preserve">      </w:t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6 мес</w:t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278" w:hRule="exact"/>
        </w:trPr>
        <w:tc>
          <w:tcPr>
            <w:tcW w:w="76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/>
            </w:pPr>
            <w:r>
              <w:rPr>
                <w:color w:val="000000"/>
                <w:spacing w:val="-7"/>
              </w:rPr>
              <w:t>Кариес на контактной поверхности резцов и клыков.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6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307" w:hRule="exact"/>
          <w:cantSplit w:val="true"/>
        </w:trPr>
        <w:tc>
          <w:tcPr>
            <w:tcW w:w="7695" w:type="dxa"/>
            <w:vMerge w:val="restart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Кариес на контактной поверхности резцов с разрушением угла коронки;</w:t>
            </w:r>
          </w:p>
          <w:p>
            <w:pPr>
              <w:pStyle w:val="Normal"/>
              <w:widowControl w:val="false"/>
              <w:shd w:val="clear" w:color="auto" w:fill="FFFFFF"/>
              <w:ind w:left="450" w:hanging="0"/>
              <w:jc w:val="both"/>
              <w:rPr/>
            </w:pPr>
            <w:r>
              <w:rPr>
                <w:color w:val="000000"/>
                <w:spacing w:val="-6"/>
              </w:rPr>
              <w:t xml:space="preserve">      </w:t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410" w:hRule="exact"/>
          <w:cantSplit w:val="true"/>
        </w:trPr>
        <w:tc>
          <w:tcPr>
            <w:tcW w:w="7695" w:type="dxa"/>
            <w:vMerge w:val="continue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  <w:spacing w:val="-15"/>
              </w:rPr>
              <w:t>1 мес</w:t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 мес</w:t>
            </w:r>
          </w:p>
        </w:tc>
      </w:tr>
      <w:tr>
        <w:trPr>
          <w:trHeight w:val="307" w:hRule="exact"/>
        </w:trPr>
        <w:tc>
          <w:tcPr>
            <w:tcW w:w="769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/>
            </w:pPr>
            <w:r>
              <w:rPr>
                <w:color w:val="000000"/>
                <w:spacing w:val="-7"/>
              </w:rPr>
              <w:t>Кариес в придесневой области</w:t>
            </w:r>
          </w:p>
        </w:tc>
        <w:tc>
          <w:tcPr>
            <w:tcW w:w="15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6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  <w:spacing w:val="-7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95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 xml:space="preserve">Наложение герметика: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из композита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7" w:hRule="exact"/>
        </w:trPr>
        <w:tc>
          <w:tcPr>
            <w:tcW w:w="769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hd w:val="clear" w:color="auto" w:fill="FFFFFF"/>
              <w:jc w:val="both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из композита</w:t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</w:tr>
      <w:tr>
        <w:trPr>
          <w:trHeight w:val="307" w:hRule="exact"/>
        </w:trPr>
        <w:tc>
          <w:tcPr>
            <w:tcW w:w="7695" w:type="dxa"/>
            <w:tcBorders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/>
            </w:pPr>
            <w:r>
              <w:rPr>
                <w:color w:val="000000"/>
                <w:spacing w:val="-7"/>
              </w:rPr>
              <w:t>из стекломерного цемента (СИЦ)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  <w:spacing w:val="-9"/>
              </w:rPr>
              <w:t>3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5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95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hd w:val="clear" w:color="auto" w:fill="FFFFFF"/>
              <w:jc w:val="both"/>
              <w:rPr/>
            </w:pPr>
            <w:r>
              <w:rPr>
                <w:color w:val="000000"/>
                <w:spacing w:val="-6"/>
              </w:rPr>
              <w:t>из компомера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95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426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2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</w:tbl>
    <w:p>
      <w:pPr>
        <w:pStyle w:val="Normal"/>
        <w:shd w:val="clear" w:color="auto" w:fill="FFFFFF"/>
        <w:jc w:val="both"/>
        <w:rPr>
          <w:b/>
          <w:b/>
          <w:color w:val="000000"/>
          <w:sz w:val="28"/>
        </w:rPr>
      </w:pPr>
      <w:r>
        <w:rPr>
          <w:b/>
          <w:color w:val="000000"/>
          <w:sz w:val="28"/>
        </w:rPr>
      </w:r>
      <w:r>
        <w:br w:type="page"/>
      </w:r>
    </w:p>
    <w:p>
      <w:pPr>
        <w:pStyle w:val="Normal"/>
        <w:shd w:val="clear" w:color="auto" w:fill="FFFFFF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Ортопедическая стоматология</w:t>
      </w:r>
    </w:p>
    <w:p>
      <w:pPr>
        <w:pStyle w:val="Normal"/>
        <w:shd w:val="clear" w:color="auto" w:fill="FFFFFF"/>
        <w:jc w:val="center"/>
        <w:rPr>
          <w:sz w:val="28"/>
        </w:rPr>
      </w:pPr>
      <w:r>
        <w:rPr>
          <w:color w:val="000000"/>
          <w:sz w:val="28"/>
        </w:rPr>
        <w:t>(годы и месяцы)</w:t>
      </w:r>
    </w:p>
    <w:p>
      <w:pPr>
        <w:pStyle w:val="Normal"/>
        <w:jc w:val="both"/>
        <w:rPr/>
      </w:pPr>
      <w:r>
        <w:rPr/>
      </w:r>
    </w:p>
    <w:tbl>
      <w:tblPr>
        <w:tblW w:w="10316" w:type="dxa"/>
        <w:jc w:val="left"/>
        <w:tblInd w:w="-244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7636"/>
        <w:gridCol w:w="1540"/>
        <w:gridCol w:w="1112"/>
        <w:gridCol w:w="27"/>
      </w:tblGrid>
      <w:tr>
        <w:trPr>
          <w:trHeight w:val="307" w:hRule="exact"/>
          <w:cantSplit w:val="true"/>
        </w:trPr>
        <w:tc>
          <w:tcPr>
            <w:tcW w:w="7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6"/>
              <w:widowControl w:val="false"/>
              <w:jc w:val="both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Виды работ:</w:t>
            </w:r>
          </w:p>
        </w:tc>
        <w:tc>
          <w:tcPr>
            <w:tcW w:w="26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jc w:val="both"/>
              <w:rPr>
                <w:b/>
                <w:b/>
                <w:i/>
                <w:i/>
                <w:szCs w:val="24"/>
              </w:rPr>
            </w:pPr>
            <w:r>
              <w:rPr>
                <w:b/>
                <w:i/>
                <w:szCs w:val="24"/>
              </w:rPr>
              <w:t>Средние сроки, год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i/>
                <w:i/>
              </w:rPr>
            </w:pPr>
            <w:r>
              <w:rPr>
                <w:b/>
                <w:i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3" w:hRule="exact"/>
          <w:cantSplit w:val="true"/>
        </w:trPr>
        <w:tc>
          <w:tcPr>
            <w:tcW w:w="763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sz w:val="22"/>
                <w:szCs w:val="22"/>
              </w:rPr>
              <w:t xml:space="preserve">Гарантийный                                  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12" w:type="dxa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Службы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36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</w:rPr>
            </w:pPr>
            <w:r>
              <w:rPr>
                <w:b/>
                <w:color w:val="000000"/>
                <w:spacing w:val="-5"/>
              </w:rPr>
              <w:t>Вкладки: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4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  <w:spacing w:val="-8"/>
              </w:rPr>
              <w:t xml:space="preserve">         </w:t>
            </w:r>
            <w:r>
              <w:rPr>
                <w:color w:val="000000"/>
                <w:spacing w:val="-8"/>
              </w:rPr>
              <w:t>-    безметалловые</w:t>
            </w:r>
          </w:p>
        </w:tc>
        <w:tc>
          <w:tcPr>
            <w:tcW w:w="15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left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3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36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  <w:spacing w:val="-7"/>
              </w:rPr>
              <w:t xml:space="preserve">         </w:t>
            </w:r>
            <w:r>
              <w:rPr>
                <w:color w:val="000000"/>
                <w:spacing w:val="-7"/>
              </w:rPr>
              <w:t>-    культевые штифтовые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3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</w:rPr>
            </w:pPr>
            <w:r>
              <w:rPr>
                <w:b/>
                <w:color w:val="000000"/>
              </w:rPr>
              <w:t>Виниры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3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b/>
                <w:color w:val="000000"/>
                <w:spacing w:val="-6"/>
              </w:rPr>
              <w:t>Коронки, мостовидные протезы: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  <w:spacing w:val="-9"/>
              </w:rPr>
              <w:t xml:space="preserve">          </w:t>
            </w:r>
            <w:r>
              <w:rPr>
                <w:color w:val="000000"/>
                <w:spacing w:val="-9"/>
              </w:rPr>
              <w:t>-   из пластмассы (временные)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  <w:spacing w:val="-13"/>
              </w:rPr>
              <w:t>1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  <w:spacing w:val="-6"/>
              </w:rPr>
              <w:t>6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7" w:hRule="exact"/>
        </w:trPr>
        <w:tc>
          <w:tcPr>
            <w:tcW w:w="76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  <w:spacing w:val="-12"/>
              </w:rPr>
              <w:t xml:space="preserve">          </w:t>
            </w:r>
            <w:r>
              <w:rPr>
                <w:color w:val="000000"/>
                <w:spacing w:val="-12"/>
              </w:rPr>
              <w:t>-    из металлопластика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3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17" w:hRule="exact"/>
        </w:trPr>
        <w:tc>
          <w:tcPr>
            <w:tcW w:w="76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pacing w:val="-18"/>
                <w:lang w:val="en-US"/>
              </w:rPr>
              <w:t xml:space="preserve">            </w:t>
            </w:r>
            <w:r>
              <w:rPr>
                <w:color w:val="000000"/>
                <w:spacing w:val="-18"/>
                <w:lang w:val="en-US"/>
              </w:rPr>
              <w:t>-    безметалловые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69" w:hRule="exact"/>
        </w:trPr>
        <w:tc>
          <w:tcPr>
            <w:tcW w:w="76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lang w:val="en-US"/>
              </w:rPr>
            </w:pPr>
            <w:r>
              <w:rPr>
                <w:color w:val="000000"/>
                <w:spacing w:val="-9"/>
                <w:lang w:val="en-US"/>
              </w:rPr>
              <w:t xml:space="preserve">          </w:t>
            </w:r>
            <w:r>
              <w:rPr>
                <w:color w:val="000000"/>
                <w:spacing w:val="-9"/>
                <w:lang w:val="en-US"/>
              </w:rPr>
              <w:t>-   металлокерамические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12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3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9" w:hRule="exact"/>
        </w:trPr>
        <w:tc>
          <w:tcPr>
            <w:tcW w:w="7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  <w:spacing w:val="-15"/>
              </w:rPr>
              <w:t xml:space="preserve">           </w:t>
            </w:r>
            <w:r>
              <w:rPr>
                <w:color w:val="000000"/>
                <w:spacing w:val="-15"/>
              </w:rPr>
              <w:t>-    металлические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  <w:spacing w:val="-7"/>
              </w:rPr>
              <w:t>1</w:t>
            </w:r>
          </w:p>
        </w:tc>
        <w:tc>
          <w:tcPr>
            <w:tcW w:w="11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lang w:val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95" w:hRule="atLeast"/>
        </w:trPr>
        <w:tc>
          <w:tcPr>
            <w:tcW w:w="76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5"/>
              <w:widowControl w:val="false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Съемные протезы</w:t>
            </w:r>
          </w:p>
          <w:p>
            <w:pPr>
              <w:pStyle w:val="5"/>
              <w:widowControl w:val="false"/>
              <w:jc w:val="both"/>
              <w:rPr/>
            </w:pPr>
            <w:r>
              <w:rPr>
                <w:b w:val="false"/>
                <w:sz w:val="24"/>
                <w:szCs w:val="24"/>
              </w:rPr>
              <w:t xml:space="preserve">       </w:t>
            </w:r>
            <w:r>
              <w:rPr>
                <w:b w:val="false"/>
                <w:sz w:val="24"/>
                <w:szCs w:val="24"/>
              </w:rPr>
              <w:t>-     Частичные пластиночные протезы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  <w:spacing w:val="-7"/>
              </w:rPr>
            </w:pPr>
            <w:r>
              <w:rPr>
                <w:color w:val="000000"/>
              </w:rPr>
              <w:t>6 мес</w:t>
            </w:r>
          </w:p>
        </w:tc>
        <w:tc>
          <w:tcPr>
            <w:tcW w:w="1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8" w:hRule="exact"/>
        </w:trPr>
        <w:tc>
          <w:tcPr>
            <w:tcW w:w="76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>
                <w:color w:val="000000"/>
                <w:spacing w:val="-2"/>
              </w:rPr>
              <w:t xml:space="preserve">       </w:t>
            </w:r>
            <w:r>
              <w:rPr>
                <w:color w:val="000000"/>
                <w:spacing w:val="-2"/>
              </w:rPr>
              <w:t>-     Полные съемные протезы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5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6 мес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  <w:tc>
          <w:tcPr>
            <w:tcW w:w="11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>
                <w:color w:val="000000"/>
              </w:rPr>
              <w:t>3</w:t>
            </w:r>
          </w:p>
          <w:p>
            <w:pPr>
              <w:pStyle w:val="Normal"/>
              <w:widowControl w:val="false"/>
              <w:shd w:val="clear" w:color="auto" w:fill="FFFFFF"/>
              <w:jc w:val="center"/>
              <w:rPr/>
            </w:pPr>
            <w:r>
              <w:rPr/>
            </w:r>
          </w:p>
        </w:tc>
      </w:tr>
      <w:tr>
        <w:trPr>
          <w:trHeight w:val="298" w:hRule="exact"/>
        </w:trPr>
        <w:tc>
          <w:tcPr>
            <w:tcW w:w="763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 </w:t>
            </w:r>
            <w:r>
              <w:rPr>
                <w:color w:val="000000"/>
                <w:spacing w:val="-2"/>
              </w:rPr>
              <w:t>-     Бюгельные протезы</w:t>
            </w:r>
          </w:p>
        </w:tc>
        <w:tc>
          <w:tcPr>
            <w:tcW w:w="154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 мес</w:t>
            </w:r>
          </w:p>
        </w:tc>
        <w:tc>
          <w:tcPr>
            <w:tcW w:w="1139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298" w:hRule="exact"/>
        </w:trPr>
        <w:tc>
          <w:tcPr>
            <w:tcW w:w="76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 </w:t>
            </w:r>
            <w:r>
              <w:rPr>
                <w:color w:val="000000"/>
                <w:spacing w:val="-2"/>
              </w:rPr>
              <w:t>-     Съемные протезы с опорой на дентальные имплантаты</w:t>
            </w:r>
          </w:p>
        </w:tc>
        <w:tc>
          <w:tcPr>
            <w:tcW w:w="1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>
      <w:pPr>
        <w:pStyle w:val="Normal"/>
        <w:shd w:val="clear" w:color="auto" w:fill="FFFFFF"/>
        <w:jc w:val="both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Ортодонтия</w:t>
      </w:r>
    </w:p>
    <w:p>
      <w:pPr>
        <w:pStyle w:val="Normal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(месяцы)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316" w:type="dxa"/>
        <w:jc w:val="left"/>
        <w:tblInd w:w="-244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000"/>
      </w:tblPr>
      <w:tblGrid>
        <w:gridCol w:w="7693"/>
        <w:gridCol w:w="1483"/>
        <w:gridCol w:w="39"/>
        <w:gridCol w:w="1073"/>
        <w:gridCol w:w="27"/>
      </w:tblGrid>
      <w:tr>
        <w:trPr>
          <w:trHeight w:val="307" w:hRule="exact"/>
          <w:cantSplit w:val="true"/>
        </w:trPr>
        <w:tc>
          <w:tcPr>
            <w:tcW w:w="7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6"/>
              <w:widowControl w:val="false"/>
              <w:jc w:val="both"/>
              <w:rPr>
                <w:b/>
                <w:b/>
                <w:i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Виды работ:</w:t>
            </w:r>
          </w:p>
        </w:tc>
        <w:tc>
          <w:tcPr>
            <w:tcW w:w="2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jc w:val="both"/>
              <w:rPr>
                <w:b/>
                <w:b/>
                <w:i/>
                <w:i/>
                <w:szCs w:val="24"/>
              </w:rPr>
            </w:pPr>
            <w:r>
              <w:rPr>
                <w:b/>
                <w:i/>
                <w:szCs w:val="24"/>
              </w:rPr>
              <w:t>Средние сроки, год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81" w:hRule="exact"/>
          <w:cantSplit w:val="true"/>
        </w:trPr>
        <w:tc>
          <w:tcPr>
            <w:tcW w:w="769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/>
            </w:pPr>
            <w:r>
              <w:rPr/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SmallGap" w:sz="8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color w:val="000000"/>
                <w:spacing w:val="-4"/>
                <w:sz w:val="22"/>
                <w:szCs w:val="22"/>
              </w:rPr>
              <w:t xml:space="preserve">Гарантийный                                  </w:t>
            </w:r>
          </w:p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12" w:type="dxa"/>
            <w:gridSpan w:val="2"/>
            <w:tcBorders>
              <w:top w:val="single" w:sz="6" w:space="0" w:color="000000"/>
              <w:left w:val="dashSmallGap" w:sz="8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Службы</w:t>
            </w:r>
          </w:p>
        </w:tc>
        <w:tc>
          <w:tcPr>
            <w:tcW w:w="27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exact"/>
        </w:trPr>
        <w:tc>
          <w:tcPr>
            <w:tcW w:w="76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b/>
                <w:b/>
                <w:color w:val="000000"/>
                <w:spacing w:val="-2"/>
              </w:rPr>
            </w:pPr>
            <w:r>
              <w:rPr>
                <w:b/>
                <w:color w:val="000000"/>
                <w:spacing w:val="-2"/>
              </w:rPr>
              <w:t>Ретенционные аппараты после снятия брекет-системы: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78" w:hRule="exact"/>
        </w:trPr>
        <w:tc>
          <w:tcPr>
            <w:tcW w:w="76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>
              <w:rPr>
                <w:color w:val="000000"/>
                <w:spacing w:val="-2"/>
              </w:rPr>
              <w:t xml:space="preserve">-      Каппа </w:t>
            </w:r>
            <w:r>
              <w:rPr>
                <w:color w:val="000000"/>
                <w:spacing w:val="-2"/>
                <w:lang w:val="en-US"/>
              </w:rPr>
              <w:t>OSAMU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>
        <w:trPr>
          <w:trHeight w:val="278" w:hRule="exact"/>
        </w:trPr>
        <w:tc>
          <w:tcPr>
            <w:tcW w:w="76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>
              <w:rPr>
                <w:color w:val="000000"/>
                <w:spacing w:val="-2"/>
              </w:rPr>
              <w:t>-      Несъемные ретейнер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>
        <w:trPr>
          <w:trHeight w:val="278" w:hRule="exact"/>
        </w:trPr>
        <w:tc>
          <w:tcPr>
            <w:tcW w:w="76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>
              <w:rPr>
                <w:color w:val="000000"/>
                <w:spacing w:val="-2"/>
              </w:rPr>
              <w:t>-      Аппарат Дерихсвайлера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>
        <w:trPr>
          <w:trHeight w:val="278" w:hRule="exact"/>
        </w:trPr>
        <w:tc>
          <w:tcPr>
            <w:tcW w:w="76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>
              <w:rPr>
                <w:color w:val="000000"/>
                <w:spacing w:val="-2"/>
              </w:rPr>
              <w:t>-      Внеротовые аппараты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>
        <w:trPr>
          <w:trHeight w:val="278" w:hRule="exact"/>
        </w:trPr>
        <w:tc>
          <w:tcPr>
            <w:tcW w:w="76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>
              <w:rPr>
                <w:color w:val="000000"/>
                <w:spacing w:val="-2"/>
              </w:rPr>
              <w:t>-      Съемный протез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>
        <w:trPr>
          <w:trHeight w:val="278" w:hRule="exact"/>
        </w:trPr>
        <w:tc>
          <w:tcPr>
            <w:tcW w:w="76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>
              <w:rPr>
                <w:color w:val="000000"/>
                <w:spacing w:val="-2"/>
              </w:rPr>
              <w:t>-      Съемный аппарат одночелюстной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>
        <w:trPr>
          <w:trHeight w:val="278" w:hRule="exact"/>
        </w:trPr>
        <w:tc>
          <w:tcPr>
            <w:tcW w:w="7693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>
              <w:rPr>
                <w:color w:val="000000"/>
                <w:spacing w:val="-2"/>
              </w:rPr>
              <w:t>-      Съемный аппарат двухчелюстной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>
        <w:trPr>
          <w:trHeight w:val="278" w:hRule="exact"/>
        </w:trPr>
        <w:tc>
          <w:tcPr>
            <w:tcW w:w="76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      </w:t>
            </w:r>
            <w:r>
              <w:rPr>
                <w:color w:val="000000"/>
                <w:spacing w:val="-2"/>
              </w:rPr>
              <w:t>-      Вестибулярная пластинка</w:t>
            </w:r>
          </w:p>
        </w:tc>
        <w:tc>
          <w:tcPr>
            <w:tcW w:w="152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0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>
      <w:pPr>
        <w:pStyle w:val="Normal"/>
        <w:jc w:val="both"/>
        <w:rPr>
          <w:sz w:val="36"/>
          <w:szCs w:val="36"/>
        </w:rPr>
      </w:pPr>
      <w:r>
        <w:rPr>
          <w:sz w:val="36"/>
          <w:szCs w:val="36"/>
        </w:rPr>
      </w:r>
      <w:r>
        <w:br w:type="page"/>
      </w:r>
    </w:p>
    <w:p>
      <w:pPr>
        <w:pStyle w:val="Style9"/>
        <w:spacing w:before="0" w:after="0"/>
        <w:jc w:val="both"/>
        <w:rPr>
          <w:rFonts w:ascii="Arial" w:hAnsi="Arial" w:cs="Arial"/>
          <w:b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  <w:t>Приложение 2</w:t>
      </w:r>
    </w:p>
    <w:p>
      <w:pPr>
        <w:pStyle w:val="2"/>
        <w:shd w:val="clear" w:color="auto" w:fill="FFFFFF"/>
        <w:spacing w:before="0" w:after="120"/>
        <w:jc w:val="both"/>
        <w:rPr>
          <w:rFonts w:cs="Arial"/>
          <w:b w:val="false"/>
          <w:b w:val="false"/>
          <w:sz w:val="36"/>
          <w:szCs w:val="36"/>
        </w:rPr>
      </w:pPr>
      <w:r>
        <w:rPr>
          <w:rFonts w:cs="Arial"/>
          <w:b w:val="false"/>
          <w:bCs/>
        </w:rPr>
        <w:t>Средние проценты успешности лечения, действующие в медицинской организации</w:t>
      </w:r>
    </w:p>
    <w:p>
      <w:pPr>
        <w:pStyle w:val="3"/>
        <w:shd w:val="clear" w:color="auto" w:fill="FFFFFF"/>
        <w:spacing w:before="0" w:after="120"/>
        <w:jc w:val="both"/>
        <w:rPr>
          <w:rFonts w:cs="Arial"/>
          <w:b/>
          <w:b/>
          <w:bCs/>
        </w:rPr>
      </w:pPr>
      <w:r>
        <w:rPr>
          <w:rFonts w:cs="Arial"/>
          <w:b/>
          <w:bCs/>
        </w:rPr>
        <w:t>Эндодонтическое лечение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Результат лечения в каждом конкретном случае зависит не только от его качества, но и от общей реакции организма и состояния зубочелюстной системы в целом.</w:t>
      </w:r>
    </w:p>
    <w:p>
      <w:pPr>
        <w:pStyle w:val="3"/>
        <w:shd w:val="clear" w:color="auto" w:fill="FFFFFF"/>
        <w:spacing w:before="0" w:after="120"/>
        <w:jc w:val="both"/>
        <w:rPr>
          <w:rFonts w:cs="Arial"/>
          <w:sz w:val="27"/>
          <w:szCs w:val="27"/>
        </w:rPr>
      </w:pPr>
      <w:r>
        <w:rPr>
          <w:rFonts w:cs="Arial"/>
          <w:b/>
          <w:bCs/>
        </w:rPr>
        <w:t>Постановка имплантантов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Гарантируется полное приживление имплантантов в 97 % случаев (срок службы от 5 лет и более).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Во всех случаях пациенту гарантируется:</w:t>
      </w:r>
    </w:p>
    <w:p>
      <w:pPr>
        <w:pStyle w:val="Normal"/>
        <w:numPr>
          <w:ilvl w:val="0"/>
          <w:numId w:val="12"/>
        </w:numPr>
        <w:shd w:val="clear" w:color="auto" w:fill="FFFFFF"/>
        <w:spacing w:beforeAutospacing="1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обследование и учет общего состояния здоровья пациента до имплантации с целью выявления возможных противопоказаний к установке имплантантов;</w:t>
      </w:r>
    </w:p>
    <w:p>
      <w:pPr>
        <w:pStyle w:val="Normal"/>
        <w:numPr>
          <w:ilvl w:val="0"/>
          <w:numId w:val="12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использование сертифицированных титановых имплантантов ведущих зарубежных фирм;</w:t>
      </w:r>
    </w:p>
    <w:p>
      <w:pPr>
        <w:pStyle w:val="Normal"/>
        <w:numPr>
          <w:ilvl w:val="0"/>
          <w:numId w:val="12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безболезненность установки имплантанта;</w:t>
      </w:r>
    </w:p>
    <w:p>
      <w:pPr>
        <w:pStyle w:val="Normal"/>
        <w:numPr>
          <w:ilvl w:val="0"/>
          <w:numId w:val="12"/>
        </w:numPr>
        <w:shd w:val="clear" w:color="auto" w:fill="FFFFFF"/>
        <w:spacing w:before="0" w:afterAutospacing="1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врачебный контроль за процессом приживления имплантанта.</w:t>
      </w:r>
    </w:p>
    <w:p>
      <w:pPr>
        <w:pStyle w:val="3"/>
        <w:shd w:val="clear" w:color="auto" w:fill="FFFFFF"/>
        <w:spacing w:before="0" w:after="120"/>
        <w:jc w:val="both"/>
        <w:rPr>
          <w:rFonts w:cs="Arial"/>
          <w:sz w:val="27"/>
          <w:szCs w:val="27"/>
        </w:rPr>
      </w:pPr>
      <w:r>
        <w:rPr>
          <w:rFonts w:cs="Arial"/>
          <w:b/>
          <w:bCs/>
        </w:rPr>
        <w:t>Удаление зуба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Гарантируется, что во всех случаях удаление зуба произойдет:</w:t>
      </w:r>
    </w:p>
    <w:p>
      <w:pPr>
        <w:pStyle w:val="Normal"/>
        <w:numPr>
          <w:ilvl w:val="0"/>
          <w:numId w:val="13"/>
        </w:numPr>
        <w:shd w:val="clear" w:color="auto" w:fill="FFFFFF"/>
        <w:spacing w:beforeAutospacing="1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безболезненно;</w:t>
      </w:r>
    </w:p>
    <w:p>
      <w:pPr>
        <w:pStyle w:val="Normal"/>
        <w:numPr>
          <w:ilvl w:val="0"/>
          <w:numId w:val="13"/>
        </w:numPr>
        <w:shd w:val="clear" w:color="auto" w:fill="FFFFFF"/>
        <w:spacing w:before="0" w:afterAutospacing="1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с адекватным хирургическим вмешательством.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Гарантируется бесплатное устранение возможных осложнений в послеоперационный период:</w:t>
      </w:r>
    </w:p>
    <w:p>
      <w:pPr>
        <w:pStyle w:val="Normal"/>
        <w:numPr>
          <w:ilvl w:val="0"/>
          <w:numId w:val="14"/>
        </w:numPr>
        <w:shd w:val="clear" w:color="auto" w:fill="FFFFFF"/>
        <w:spacing w:beforeAutospacing="1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воспаление;</w:t>
      </w:r>
    </w:p>
    <w:p>
      <w:pPr>
        <w:pStyle w:val="Normal"/>
        <w:numPr>
          <w:ilvl w:val="0"/>
          <w:numId w:val="14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кровотечение;</w:t>
      </w:r>
    </w:p>
    <w:p>
      <w:pPr>
        <w:pStyle w:val="Normal"/>
        <w:numPr>
          <w:ilvl w:val="0"/>
          <w:numId w:val="14"/>
        </w:numPr>
        <w:shd w:val="clear" w:color="auto" w:fill="FFFFFF"/>
        <w:spacing w:before="0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отек;</w:t>
      </w:r>
    </w:p>
    <w:p>
      <w:pPr>
        <w:pStyle w:val="Normal"/>
        <w:numPr>
          <w:ilvl w:val="0"/>
          <w:numId w:val="14"/>
        </w:numPr>
        <w:shd w:val="clear" w:color="auto" w:fill="FFFFFF"/>
        <w:spacing w:before="0" w:afterAutospacing="1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боль.</w:t>
      </w:r>
    </w:p>
    <w:p>
      <w:pPr>
        <w:pStyle w:val="3"/>
        <w:shd w:val="clear" w:color="auto" w:fill="FFFFFF"/>
        <w:spacing w:before="0" w:after="120"/>
        <w:jc w:val="both"/>
        <w:rPr>
          <w:rFonts w:cs="Arial"/>
          <w:sz w:val="27"/>
          <w:szCs w:val="27"/>
        </w:rPr>
      </w:pPr>
      <w:r>
        <w:rPr>
          <w:rFonts w:cs="Arial"/>
          <w:b/>
          <w:bCs/>
        </w:rPr>
        <w:t>Заболевание пародонта (воспаление десны и окружающих зуб тканей)</w:t>
      </w:r>
    </w:p>
    <w:p>
      <w:pPr>
        <w:pStyle w:val="NormalWeb"/>
        <w:shd w:val="clear" w:color="auto" w:fill="FFFFFF"/>
        <w:spacing w:before="280" w:after="280"/>
        <w:jc w:val="both"/>
        <w:rPr>
          <w:rFonts w:ascii="Arial" w:hAnsi="Arial" w:cs="Arial"/>
          <w:b/>
          <w:b/>
          <w:bCs/>
          <w:sz w:val="27"/>
          <w:szCs w:val="27"/>
        </w:rPr>
      </w:pPr>
      <w:r>
        <w:rPr>
          <w:rFonts w:cs="Arial" w:ascii="Arial" w:hAnsi="Arial"/>
          <w:b/>
          <w:bCs/>
          <w:sz w:val="27"/>
          <w:szCs w:val="27"/>
        </w:rPr>
        <w:t>Гарантируется, что при соблюдении условий, которые определяет врач:</w:t>
      </w:r>
    </w:p>
    <w:p>
      <w:pPr>
        <w:pStyle w:val="Normal"/>
        <w:numPr>
          <w:ilvl w:val="0"/>
          <w:numId w:val="15"/>
        </w:numPr>
        <w:shd w:val="clear" w:color="auto" w:fill="FFFFFF"/>
        <w:spacing w:beforeAutospacing="1" w:after="0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в 80% случаев - излечение гингивита;</w:t>
      </w:r>
    </w:p>
    <w:p>
      <w:pPr>
        <w:pStyle w:val="Normal"/>
        <w:numPr>
          <w:ilvl w:val="0"/>
          <w:numId w:val="15"/>
        </w:numPr>
        <w:shd w:val="clear" w:color="auto" w:fill="FFFFFF"/>
        <w:spacing w:before="0" w:afterAutospacing="1"/>
        <w:ind w:left="375" w:hanging="360"/>
        <w:jc w:val="both"/>
        <w:rPr>
          <w:rFonts w:ascii="Arial" w:hAnsi="Arial" w:cs="Arial"/>
          <w:sz w:val="27"/>
          <w:szCs w:val="27"/>
        </w:rPr>
      </w:pPr>
      <w:r>
        <w:rPr>
          <w:rFonts w:cs="Arial" w:ascii="Arial" w:hAnsi="Arial"/>
          <w:sz w:val="27"/>
          <w:szCs w:val="27"/>
        </w:rPr>
        <w:t>в 50% - остановку развития пародонтита и пародонтоза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851" w:right="567" w:gutter="0" w:header="0" w:top="567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4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14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4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518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14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4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4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518.3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14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454"/>
        </w:tabs>
        <w:ind w:left="680" w:hanging="17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2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2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OpenSymbol" w:hAnsi="OpenSymbol" w:cs="OpenSymbol" w:hint="default"/>
      </w:rPr>
    </w:lvl>
    <w:lvl w:ilvl="1">
      <w:start w:val="2"/>
      <w:numFmt w:val="bullet"/>
      <w:lvlText w:val="-"/>
      <w:lvlJc w:val="left"/>
      <w:pPr>
        <w:tabs>
          <w:tab w:val="num" w:pos="1080"/>
        </w:tabs>
        <w:ind w:left="1306" w:hanging="226"/>
      </w:pPr>
      <w:rPr>
        <w:rFonts w:ascii="OpenSymbol" w:hAnsi="Open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2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2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-"/>
      <w:lvlJc w:val="left"/>
      <w:pPr>
        <w:tabs>
          <w:tab w:val="num" w:pos="454"/>
        </w:tabs>
        <w:ind w:left="680" w:hanging="226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widowControl w:val="false"/>
      <w:shd w:val="clear" w:color="auto" w:fill="FFFFFF"/>
      <w:jc w:val="center"/>
      <w:outlineLvl w:val="0"/>
    </w:pPr>
    <w:rPr>
      <w:color w:val="000000"/>
      <w:spacing w:val="-6"/>
      <w:szCs w:val="20"/>
    </w:rPr>
  </w:style>
  <w:style w:type="paragraph" w:styleId="2">
    <w:name w:val="Heading 2"/>
    <w:basedOn w:val="Normal"/>
    <w:next w:val="Normal"/>
    <w:qFormat/>
    <w:pPr>
      <w:keepNext w:val="true"/>
      <w:widowControl w:val="false"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Normal"/>
    <w:next w:val="Normal"/>
    <w:qFormat/>
    <w:pPr>
      <w:keepNext w:val="true"/>
      <w:widowControl w:val="false"/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Normal"/>
    <w:next w:val="Normal"/>
    <w:qFormat/>
    <w:pPr>
      <w:keepNext w:val="true"/>
      <w:widowControl w:val="false"/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Normal"/>
    <w:next w:val="Normal"/>
    <w:qFormat/>
    <w:pPr>
      <w:keepNext w:val="true"/>
      <w:widowControl w:val="false"/>
      <w:shd w:val="clear" w:color="auto" w:fill="FFFFFF"/>
      <w:outlineLvl w:val="4"/>
    </w:pPr>
    <w:rPr>
      <w:b/>
      <w:color w:val="000000"/>
      <w:spacing w:val="-1"/>
      <w:sz w:val="23"/>
      <w:szCs w:val="20"/>
    </w:rPr>
  </w:style>
  <w:style w:type="paragraph" w:styleId="6">
    <w:name w:val="Heading 6"/>
    <w:basedOn w:val="Normal"/>
    <w:next w:val="Normal"/>
    <w:qFormat/>
    <w:pPr>
      <w:keepNext w:val="true"/>
      <w:widowControl w:val="false"/>
      <w:shd w:val="clear" w:color="auto" w:fill="FFFFFF"/>
      <w:outlineLvl w:val="5"/>
    </w:pPr>
    <w:rPr>
      <w:color w:val="000000"/>
      <w:spacing w:val="-9"/>
      <w:sz w:val="28"/>
      <w:szCs w:val="20"/>
    </w:rPr>
  </w:style>
  <w:style w:type="paragraph" w:styleId="7">
    <w:name w:val="Heading 7"/>
    <w:basedOn w:val="Normal"/>
    <w:next w:val="Normal"/>
    <w:qFormat/>
    <w:pPr>
      <w:keepNext w:val="true"/>
      <w:widowControl w:val="false"/>
      <w:shd w:val="clear" w:color="auto" w:fill="FFFFFF"/>
      <w:outlineLvl w:val="6"/>
    </w:pPr>
    <w:rPr>
      <w:b/>
      <w:color w:val="000000"/>
      <w:sz w:val="32"/>
      <w:szCs w:val="20"/>
    </w:rPr>
  </w:style>
  <w:style w:type="character" w:styleId="DefaultParagraphFont" w:default="1">
    <w:name w:val="Default Paragraph Font"/>
    <w:semiHidden/>
    <w:qFormat/>
    <w:rPr/>
  </w:style>
  <w:style w:type="character" w:styleId="Pagenumber">
    <w:name w:val="page number"/>
    <w:basedOn w:val="DefaultParagraphFont"/>
    <w:qFormat/>
    <w:rPr/>
  </w:style>
  <w:style w:type="character" w:styleId="Style7" w:customStyle="1">
    <w:name w:val="Текст выноски Знак"/>
    <w:link w:val="BalloonText"/>
    <w:qFormat/>
    <w:rsid w:val="003d11fe"/>
    <w:rPr>
      <w:rFonts w:ascii="Segoe UI" w:hAnsi="Segoe UI" w:cs="Segoe UI"/>
      <w:sz w:val="18"/>
      <w:szCs w:val="18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9">
    <w:name w:val="Body Text"/>
    <w:basedOn w:val="Normal"/>
    <w:pPr>
      <w:widowControl w:val="false"/>
      <w:spacing w:before="0" w:after="120"/>
    </w:pPr>
    <w:rPr>
      <w:sz w:val="20"/>
      <w:szCs w:val="20"/>
    </w:rPr>
  </w:style>
  <w:style w:type="paragraph" w:styleId="Style10">
    <w:name w:val="List"/>
    <w:basedOn w:val="Style9"/>
    <w:pPr/>
    <w:rPr>
      <w:rFonts w:cs="Lucida 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3">
    <w:name w:val="Колонтитул"/>
    <w:basedOn w:val="Normal"/>
    <w:qFormat/>
    <w:pPr/>
    <w:rPr/>
  </w:style>
  <w:style w:type="paragraph" w:styleId="Style1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Bullet2">
    <w:name w:val="List Bullet 2"/>
    <w:basedOn w:val="Normal"/>
    <w:autoRedefine/>
    <w:qFormat/>
    <w:pPr>
      <w:widowControl w:val="false"/>
      <w:numPr>
        <w:ilvl w:val="0"/>
        <w:numId w:val="1"/>
      </w:numPr>
    </w:pPr>
    <w:rPr>
      <w:sz w:val="20"/>
      <w:szCs w:val="20"/>
    </w:rPr>
  </w:style>
  <w:style w:type="paragraph" w:styleId="Style15">
    <w:name w:val="Body Text Indent"/>
    <w:basedOn w:val="Normal"/>
    <w:pPr>
      <w:widowControl w:val="false"/>
      <w:spacing w:before="0" w:after="120"/>
      <w:ind w:left="283" w:hanging="0"/>
    </w:pPr>
    <w:rPr>
      <w:sz w:val="20"/>
      <w:szCs w:val="20"/>
    </w:rPr>
  </w:style>
  <w:style w:type="paragraph" w:styleId="ListContinue2">
    <w:name w:val="List Continue 2"/>
    <w:basedOn w:val="Normal"/>
    <w:qFormat/>
    <w:pPr>
      <w:widowControl w:val="false"/>
      <w:spacing w:before="0" w:after="120"/>
      <w:ind w:left="566" w:hanging="0"/>
    </w:pPr>
    <w:rPr>
      <w:sz w:val="20"/>
      <w:szCs w:val="20"/>
    </w:rPr>
  </w:style>
  <w:style w:type="paragraph" w:styleId="21">
    <w:name w:val="List Bullet 3"/>
    <w:basedOn w:val="Normal"/>
    <w:pPr>
      <w:widowControl w:val="false"/>
      <w:ind w:left="566" w:hanging="283"/>
    </w:pPr>
    <w:rPr>
      <w:sz w:val="20"/>
      <w:szCs w:val="20"/>
    </w:rPr>
  </w:style>
  <w:style w:type="paragraph" w:styleId="BalloonText">
    <w:name w:val="Balloon Text"/>
    <w:basedOn w:val="Normal"/>
    <w:link w:val="Style7"/>
    <w:qFormat/>
    <w:rsid w:val="003d11fe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c3202"/>
    <w:pPr>
      <w:spacing w:beforeAutospacing="1" w:afterAutospacing="1"/>
    </w:pPr>
    <w:rPr/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LibreOffice/7.3.2.2$Windows_X86_64 LibreOffice_project/49f2b1bff42cfccbd8f788c8dc32c1c309559be0</Application>
  <AppVersion>15.0000</AppVersion>
  <Pages>6</Pages>
  <Words>1392</Words>
  <Characters>9290</Characters>
  <CharactersWithSpaces>10781</CharactersWithSpaces>
  <Paragraphs>217</Paragraphs>
  <Company>ИС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2019-12-04T07:30:00Z</dcterms:created>
  <dc:creator>Психологи</dc:creator>
  <dc:description/>
  <dc:language>ru-RU</dc:language>
  <cp:lastModifiedBy/>
  <cp:lastPrinted>2019-12-03T14:16:00Z</cp:lastPrinted>
  <dcterms:modified xsi:type="dcterms:W3CDTF">2023-09-13T15:30:28Z</dcterms:modified>
  <cp:revision>3</cp:revision>
  <dc:subject/>
  <dc:title>Образец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